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78DD6" w14:textId="77777777" w:rsidR="00E63A09" w:rsidRPr="00D10A69" w:rsidRDefault="00E63A09" w:rsidP="00E63A09">
      <w:pPr>
        <w:jc w:val="center"/>
        <w:rPr>
          <w:rFonts w:ascii="Arial" w:hAnsi="Arial" w:cs="Arial"/>
        </w:rPr>
      </w:pPr>
      <w:r w:rsidRPr="00D10A69">
        <w:rPr>
          <w:rFonts w:ascii="Arial" w:eastAsia="Arial" w:hAnsi="Arial" w:cs="Arial"/>
        </w:rPr>
        <w:t>Texto aprobado en primer debate en la Comisión Segunda Permanente de Gobierno en sesión del día 25 de febrero de 2025</w:t>
      </w:r>
    </w:p>
    <w:p w14:paraId="56C9F1A0" w14:textId="58F6D57D" w:rsidR="00E63A09" w:rsidRPr="00E63A09" w:rsidRDefault="00E63A09" w:rsidP="00BB101B">
      <w:pPr>
        <w:spacing w:line="276" w:lineRule="auto"/>
        <w:jc w:val="center"/>
        <w:rPr>
          <w:rFonts w:ascii="Arial" w:hAnsi="Arial" w:cs="Arial"/>
          <w:b/>
          <w:bCs/>
        </w:rPr>
      </w:pPr>
      <w:r w:rsidRPr="00E63A09">
        <w:rPr>
          <w:rFonts w:ascii="Arial" w:hAnsi="Arial" w:cs="Arial"/>
          <w:b/>
          <w:bCs/>
        </w:rPr>
        <w:t>PROYECTO DE ACUERDO 077 DE 2025</w:t>
      </w:r>
    </w:p>
    <w:p w14:paraId="7E8F7A77" w14:textId="77777777" w:rsidR="00281B5A" w:rsidRPr="00281B5A" w:rsidRDefault="00281B5A" w:rsidP="00BB101B">
      <w:pPr>
        <w:spacing w:line="276" w:lineRule="auto"/>
        <w:jc w:val="center"/>
        <w:rPr>
          <w:rFonts w:ascii="Arial" w:hAnsi="Arial" w:cs="Arial"/>
          <w:b/>
          <w:lang w:val="es-ES"/>
        </w:rPr>
      </w:pPr>
      <w:r w:rsidRPr="00281B5A">
        <w:rPr>
          <w:rFonts w:ascii="Arial" w:hAnsi="Arial" w:cs="Arial"/>
          <w:b/>
          <w:lang w:val="es-ES"/>
        </w:rPr>
        <w:t>"POR MEDIO DEL CUAL SE TRAZAN LINEAMIENTOS PARA SENSIBILIZAR SOBRE EL ADECUADO USO DE PANTALLAS EN LA PRIMERA INFANCIA"</w:t>
      </w:r>
    </w:p>
    <w:p w14:paraId="5A73E166" w14:textId="77777777" w:rsidR="00281B5A" w:rsidRPr="00281B5A" w:rsidRDefault="00281B5A" w:rsidP="00BB101B">
      <w:pPr>
        <w:spacing w:line="276" w:lineRule="auto"/>
        <w:jc w:val="center"/>
        <w:rPr>
          <w:rFonts w:ascii="Arial" w:hAnsi="Arial" w:cs="Arial"/>
          <w:b/>
          <w:lang w:val="es-ES"/>
        </w:rPr>
      </w:pPr>
      <w:r w:rsidRPr="00281B5A">
        <w:rPr>
          <w:rFonts w:ascii="Arial" w:hAnsi="Arial" w:cs="Arial"/>
          <w:b/>
          <w:lang w:val="es-ES"/>
        </w:rPr>
        <w:t>EL CONCEJO DE BOGOTÁ D.C.</w:t>
      </w:r>
    </w:p>
    <w:p w14:paraId="13247F03" w14:textId="31E4A84C" w:rsidR="00281B5A" w:rsidRPr="00281B5A" w:rsidRDefault="00281B5A" w:rsidP="00BB101B">
      <w:pPr>
        <w:spacing w:line="276" w:lineRule="auto"/>
        <w:jc w:val="center"/>
        <w:rPr>
          <w:rFonts w:ascii="Arial" w:hAnsi="Arial" w:cs="Arial"/>
          <w:lang w:val="es-ES"/>
        </w:rPr>
      </w:pPr>
      <w:r w:rsidRPr="00281B5A">
        <w:rPr>
          <w:rFonts w:ascii="Arial" w:hAnsi="Arial" w:cs="Arial"/>
          <w:lang w:val="es-ES"/>
        </w:rPr>
        <w:t xml:space="preserve">En ejercicio de sus facultades constitucionales y legales, en especial las conferidas en los numerales </w:t>
      </w:r>
      <w:r w:rsidR="00943D23" w:rsidRPr="00943D23">
        <w:rPr>
          <w:rFonts w:ascii="Arial" w:hAnsi="Arial" w:cs="Arial"/>
          <w:lang w:val="es-ES"/>
        </w:rPr>
        <w:t>1</w:t>
      </w:r>
      <w:r w:rsidRPr="00281B5A">
        <w:rPr>
          <w:rFonts w:ascii="Arial" w:hAnsi="Arial" w:cs="Arial"/>
          <w:lang w:val="es-ES"/>
        </w:rPr>
        <w:t xml:space="preserve"> y </w:t>
      </w:r>
      <w:r w:rsidR="00943D23" w:rsidRPr="00943D23">
        <w:rPr>
          <w:rFonts w:ascii="Arial" w:hAnsi="Arial" w:cs="Arial"/>
          <w:lang w:val="es-ES"/>
        </w:rPr>
        <w:t>10</w:t>
      </w:r>
      <w:r w:rsidRPr="00281B5A">
        <w:rPr>
          <w:rFonts w:ascii="Arial" w:hAnsi="Arial" w:cs="Arial"/>
          <w:lang w:val="es-ES"/>
        </w:rPr>
        <w:t xml:space="preserve"> del artículo 3</w:t>
      </w:r>
      <w:r w:rsidR="00943D23" w:rsidRPr="00943D23">
        <w:rPr>
          <w:rFonts w:ascii="Arial" w:hAnsi="Arial" w:cs="Arial"/>
          <w:lang w:val="es-ES"/>
        </w:rPr>
        <w:t>13</w:t>
      </w:r>
      <w:r w:rsidRPr="00281B5A">
        <w:rPr>
          <w:rFonts w:ascii="Arial" w:hAnsi="Arial" w:cs="Arial"/>
          <w:lang w:val="es-ES"/>
        </w:rPr>
        <w:t xml:space="preserve"> de la Constitución Política de Colombia y el numeral </w:t>
      </w:r>
      <w:r w:rsidR="00CE3878">
        <w:rPr>
          <w:rFonts w:ascii="Arial" w:hAnsi="Arial" w:cs="Arial"/>
          <w:lang w:val="es-ES"/>
        </w:rPr>
        <w:t>1</w:t>
      </w:r>
      <w:r w:rsidRPr="00281B5A">
        <w:rPr>
          <w:rFonts w:ascii="Arial" w:hAnsi="Arial" w:cs="Arial"/>
          <w:lang w:val="es-ES"/>
        </w:rPr>
        <w:t xml:space="preserve"> del artículo 12 del Decreto Ley 1421 de 1993</w:t>
      </w:r>
    </w:p>
    <w:p w14:paraId="1EAA1DD2" w14:textId="77777777" w:rsidR="00281B5A" w:rsidRPr="00281B5A" w:rsidRDefault="00281B5A" w:rsidP="00BB101B">
      <w:pPr>
        <w:spacing w:line="276" w:lineRule="auto"/>
        <w:jc w:val="center"/>
        <w:rPr>
          <w:rFonts w:ascii="Arial" w:hAnsi="Arial" w:cs="Arial"/>
          <w:b/>
          <w:lang w:val="es-ES"/>
        </w:rPr>
      </w:pPr>
      <w:r w:rsidRPr="00281B5A">
        <w:rPr>
          <w:rFonts w:ascii="Arial" w:hAnsi="Arial" w:cs="Arial"/>
          <w:b/>
          <w:lang w:val="es-ES"/>
        </w:rPr>
        <w:t>ACUERDA:</w:t>
      </w:r>
    </w:p>
    <w:p w14:paraId="7F46D248" w14:textId="77777777" w:rsidR="00281B5A" w:rsidRPr="00281B5A" w:rsidRDefault="00281B5A" w:rsidP="00BB101B">
      <w:pPr>
        <w:spacing w:line="276" w:lineRule="auto"/>
        <w:jc w:val="both"/>
        <w:rPr>
          <w:rFonts w:ascii="Arial" w:hAnsi="Arial" w:cs="Arial"/>
          <w:lang w:val="es-ES"/>
        </w:rPr>
      </w:pPr>
      <w:r w:rsidRPr="00281B5A">
        <w:rPr>
          <w:rFonts w:ascii="Arial" w:hAnsi="Arial" w:cs="Arial"/>
          <w:b/>
          <w:lang w:val="es-ES"/>
        </w:rPr>
        <w:t xml:space="preserve">Artículo 1. Objeto: </w:t>
      </w:r>
      <w:r w:rsidRPr="00281B5A">
        <w:rPr>
          <w:rFonts w:ascii="Arial" w:hAnsi="Arial" w:cs="Arial"/>
          <w:lang w:val="es-ES"/>
        </w:rPr>
        <w:t xml:space="preserve">Este acuerdo tiene como finalidad trazar los lineamientos que permitan sensibilizar sobre el adecuado uso de pantallas y dispositivos electrónicos por parte de </w:t>
      </w:r>
      <w:proofErr w:type="gramStart"/>
      <w:r w:rsidRPr="00281B5A">
        <w:rPr>
          <w:rFonts w:ascii="Arial" w:hAnsi="Arial" w:cs="Arial"/>
          <w:lang w:val="es-ES"/>
        </w:rPr>
        <w:t>niños y niñas</w:t>
      </w:r>
      <w:proofErr w:type="gramEnd"/>
      <w:r w:rsidRPr="00281B5A">
        <w:rPr>
          <w:rFonts w:ascii="Arial" w:hAnsi="Arial" w:cs="Arial"/>
          <w:lang w:val="es-ES"/>
        </w:rPr>
        <w:t xml:space="preserve"> de la primera infancia, fomentando su desarrollo integral y el bienestar físico, emocional y social.</w:t>
      </w:r>
    </w:p>
    <w:p w14:paraId="1AC9CCDE" w14:textId="6170E876" w:rsidR="00281B5A" w:rsidRPr="00281B5A" w:rsidRDefault="00281B5A" w:rsidP="00BB101B">
      <w:pPr>
        <w:spacing w:line="276" w:lineRule="auto"/>
        <w:jc w:val="both"/>
        <w:rPr>
          <w:rFonts w:ascii="Arial" w:hAnsi="Arial" w:cs="Arial"/>
          <w:color w:val="1D1D1D"/>
        </w:rPr>
      </w:pPr>
      <w:r w:rsidRPr="00281B5A">
        <w:rPr>
          <w:rFonts w:ascii="Arial" w:hAnsi="Arial" w:cs="Arial"/>
          <w:b/>
          <w:color w:val="1D1D1D"/>
        </w:rPr>
        <w:t xml:space="preserve">Artículo 2. Lineamientos: </w:t>
      </w:r>
      <w:r w:rsidRPr="00281B5A">
        <w:rPr>
          <w:rFonts w:ascii="Arial" w:hAnsi="Arial" w:cs="Arial"/>
          <w:color w:val="1D1D1D"/>
        </w:rPr>
        <w:t>La</w:t>
      </w:r>
      <w:r w:rsidRPr="00281B5A">
        <w:rPr>
          <w:rFonts w:ascii="Arial" w:hAnsi="Arial" w:cs="Arial"/>
          <w:color w:val="1D1D1D"/>
          <w:spacing w:val="-6"/>
        </w:rPr>
        <w:t xml:space="preserve"> </w:t>
      </w:r>
      <w:r w:rsidRPr="00281B5A">
        <w:rPr>
          <w:rFonts w:ascii="Arial" w:hAnsi="Arial" w:cs="Arial"/>
          <w:color w:val="1D1D1D"/>
        </w:rPr>
        <w:t>Administración Distrital tendrá en cuenta, entre otros, los</w:t>
      </w:r>
      <w:r w:rsidRPr="00281B5A">
        <w:rPr>
          <w:rFonts w:ascii="Arial" w:hAnsi="Arial" w:cs="Arial"/>
          <w:color w:val="1D1D1D"/>
          <w:spacing w:val="-3"/>
        </w:rPr>
        <w:t xml:space="preserve"> </w:t>
      </w:r>
      <w:r w:rsidRPr="00281B5A">
        <w:rPr>
          <w:rFonts w:ascii="Arial" w:hAnsi="Arial" w:cs="Arial"/>
          <w:color w:val="1D1D1D"/>
        </w:rPr>
        <w:t>siguientes lineamientos</w:t>
      </w:r>
      <w:r w:rsidRPr="00281B5A">
        <w:rPr>
          <w:rFonts w:ascii="Arial" w:hAnsi="Arial" w:cs="Arial"/>
          <w:color w:val="1D1D1D"/>
          <w:spacing w:val="15"/>
        </w:rPr>
        <w:t xml:space="preserve"> </w:t>
      </w:r>
      <w:r w:rsidRPr="00281B5A">
        <w:rPr>
          <w:rFonts w:ascii="Arial" w:hAnsi="Arial" w:cs="Arial"/>
          <w:color w:val="1D1D1D"/>
        </w:rPr>
        <w:t>para</w:t>
      </w:r>
      <w:r w:rsidRPr="00281B5A">
        <w:rPr>
          <w:rFonts w:ascii="Arial" w:hAnsi="Arial" w:cs="Arial"/>
          <w:color w:val="1D1D1D"/>
          <w:spacing w:val="-8"/>
        </w:rPr>
        <w:t xml:space="preserve"> </w:t>
      </w:r>
      <w:r w:rsidRPr="00281B5A">
        <w:rPr>
          <w:rFonts w:ascii="Arial" w:hAnsi="Arial" w:cs="Arial"/>
          <w:color w:val="1D1D1D"/>
        </w:rPr>
        <w:t>sensibilizar sobre</w:t>
      </w:r>
      <w:r w:rsidRPr="00281B5A">
        <w:rPr>
          <w:rFonts w:ascii="Arial" w:hAnsi="Arial" w:cs="Arial"/>
          <w:color w:val="1D1D1D"/>
          <w:spacing w:val="-8"/>
        </w:rPr>
        <w:t xml:space="preserve"> </w:t>
      </w:r>
      <w:r w:rsidRPr="00281B5A">
        <w:rPr>
          <w:rFonts w:ascii="Arial" w:hAnsi="Arial" w:cs="Arial"/>
          <w:color w:val="1D1D1D"/>
        </w:rPr>
        <w:t>el</w:t>
      </w:r>
      <w:r w:rsidRPr="00281B5A">
        <w:rPr>
          <w:rFonts w:ascii="Arial" w:hAnsi="Arial" w:cs="Arial"/>
          <w:color w:val="1D1D1D"/>
          <w:spacing w:val="-9"/>
        </w:rPr>
        <w:t xml:space="preserve"> </w:t>
      </w:r>
      <w:r w:rsidRPr="00281B5A">
        <w:rPr>
          <w:rFonts w:ascii="Arial" w:hAnsi="Arial" w:cs="Arial"/>
          <w:color w:val="1D1D1D"/>
        </w:rPr>
        <w:t>adecuado uso</w:t>
      </w:r>
      <w:r w:rsidRPr="00281B5A">
        <w:rPr>
          <w:rFonts w:ascii="Arial" w:hAnsi="Arial" w:cs="Arial"/>
          <w:color w:val="1D1D1D"/>
          <w:spacing w:val="-16"/>
        </w:rPr>
        <w:t xml:space="preserve"> </w:t>
      </w:r>
      <w:r w:rsidRPr="00281B5A">
        <w:rPr>
          <w:rFonts w:ascii="Arial" w:hAnsi="Arial" w:cs="Arial"/>
          <w:color w:val="1D1D1D"/>
        </w:rPr>
        <w:t>de</w:t>
      </w:r>
      <w:r w:rsidRPr="00281B5A">
        <w:rPr>
          <w:rFonts w:ascii="Arial" w:hAnsi="Arial" w:cs="Arial"/>
          <w:color w:val="1D1D1D"/>
          <w:spacing w:val="-5"/>
        </w:rPr>
        <w:t xml:space="preserve"> </w:t>
      </w:r>
      <w:r w:rsidRPr="00281B5A">
        <w:rPr>
          <w:rFonts w:ascii="Arial" w:hAnsi="Arial" w:cs="Arial"/>
          <w:color w:val="1D1D1D"/>
        </w:rPr>
        <w:t>pantallas</w:t>
      </w:r>
      <w:r w:rsidRPr="00281B5A">
        <w:rPr>
          <w:rFonts w:ascii="Arial" w:hAnsi="Arial" w:cs="Arial"/>
          <w:color w:val="1D1D1D"/>
          <w:spacing w:val="-9"/>
        </w:rPr>
        <w:t xml:space="preserve"> </w:t>
      </w:r>
      <w:r w:rsidRPr="00281B5A">
        <w:rPr>
          <w:rFonts w:ascii="Arial" w:hAnsi="Arial" w:cs="Arial"/>
          <w:color w:val="1D1D1D"/>
        </w:rPr>
        <w:t>en la primera infancia</w:t>
      </w:r>
    </w:p>
    <w:p w14:paraId="36D3441B" w14:textId="77777777" w:rsidR="00281B5A" w:rsidRDefault="00281B5A" w:rsidP="00BB101B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after="120" w:line="276" w:lineRule="auto"/>
        <w:ind w:left="714" w:right="139" w:hanging="357"/>
        <w:contextualSpacing w:val="0"/>
        <w:jc w:val="both"/>
        <w:rPr>
          <w:rFonts w:ascii="Arial" w:hAnsi="Arial" w:cs="Arial"/>
          <w:color w:val="1D1D1D"/>
        </w:rPr>
      </w:pPr>
      <w:r w:rsidRPr="00281B5A">
        <w:rPr>
          <w:rFonts w:ascii="Arial" w:hAnsi="Arial" w:cs="Arial"/>
          <w:color w:val="1D1D1D"/>
        </w:rPr>
        <w:t>Prevención en cuanto a la mitigación de riesgos en la salud y la ciberseguridad,</w:t>
      </w:r>
      <w:r w:rsidRPr="00281B5A">
        <w:rPr>
          <w:rFonts w:ascii="Arial" w:hAnsi="Arial" w:cs="Arial"/>
          <w:color w:val="1D1D1D"/>
          <w:spacing w:val="-6"/>
        </w:rPr>
        <w:t xml:space="preserve"> </w:t>
      </w:r>
      <w:r w:rsidRPr="00281B5A">
        <w:rPr>
          <w:rFonts w:ascii="Arial" w:hAnsi="Arial" w:cs="Arial"/>
          <w:color w:val="2F2F2F"/>
        </w:rPr>
        <w:t xml:space="preserve">y </w:t>
      </w:r>
      <w:r w:rsidRPr="00281B5A">
        <w:rPr>
          <w:rFonts w:ascii="Arial" w:hAnsi="Arial" w:cs="Arial"/>
          <w:color w:val="1D1D1D"/>
        </w:rPr>
        <w:t xml:space="preserve">todos aquellos asociados al uso temprano y excesivo de pantallas. </w:t>
      </w:r>
    </w:p>
    <w:p w14:paraId="241598B7" w14:textId="081F60DA" w:rsidR="00281B5A" w:rsidRPr="00281B5A" w:rsidRDefault="00281B5A" w:rsidP="00BB101B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after="120" w:line="276" w:lineRule="auto"/>
        <w:ind w:left="714" w:right="139" w:hanging="357"/>
        <w:contextualSpacing w:val="0"/>
        <w:jc w:val="both"/>
        <w:rPr>
          <w:rFonts w:ascii="Arial" w:hAnsi="Arial" w:cs="Arial"/>
          <w:color w:val="1D1D1D"/>
        </w:rPr>
      </w:pPr>
      <w:r w:rsidRPr="00281B5A">
        <w:rPr>
          <w:rFonts w:ascii="Arial" w:hAnsi="Arial" w:cs="Arial"/>
          <w:color w:val="1D1D1D"/>
        </w:rPr>
        <w:t xml:space="preserve">Orientación con el fin de informar </w:t>
      </w:r>
      <w:r w:rsidRPr="00281B5A">
        <w:rPr>
          <w:rFonts w:ascii="Arial" w:hAnsi="Arial" w:cs="Arial"/>
          <w:color w:val="2F2F2F"/>
        </w:rPr>
        <w:t xml:space="preserve">y </w:t>
      </w:r>
      <w:r w:rsidRPr="00281B5A">
        <w:rPr>
          <w:rFonts w:ascii="Arial" w:hAnsi="Arial" w:cs="Arial"/>
          <w:color w:val="1D1D1D"/>
        </w:rPr>
        <w:t>sensibilizar a los cuidadores y niños en el uso adecuado de pantallas en la primera infancia. Lo anterior, podrá realizarse a través de campañas y talleres para padres y cuidadores.</w:t>
      </w:r>
    </w:p>
    <w:p w14:paraId="413844B2" w14:textId="77777777" w:rsidR="00281B5A" w:rsidRDefault="00281B5A" w:rsidP="00BB101B">
      <w:pPr>
        <w:pStyle w:val="Prrafodelista"/>
        <w:widowControl w:val="0"/>
        <w:numPr>
          <w:ilvl w:val="0"/>
          <w:numId w:val="1"/>
        </w:numPr>
        <w:tabs>
          <w:tab w:val="left" w:pos="1857"/>
        </w:tabs>
        <w:autoSpaceDE w:val="0"/>
        <w:autoSpaceDN w:val="0"/>
        <w:spacing w:after="120" w:line="276" w:lineRule="auto"/>
        <w:ind w:left="714" w:right="139" w:hanging="357"/>
        <w:contextualSpacing w:val="0"/>
        <w:jc w:val="both"/>
        <w:rPr>
          <w:rFonts w:ascii="Arial" w:hAnsi="Arial" w:cs="Arial"/>
          <w:color w:val="1D1D1D"/>
        </w:rPr>
      </w:pPr>
      <w:r w:rsidRPr="00281B5A">
        <w:rPr>
          <w:rFonts w:ascii="Arial" w:hAnsi="Arial" w:cs="Arial"/>
          <w:color w:val="1D1D1D"/>
        </w:rPr>
        <w:t>Priorización de</w:t>
      </w:r>
      <w:r w:rsidRPr="00281B5A">
        <w:rPr>
          <w:rFonts w:ascii="Arial" w:hAnsi="Arial" w:cs="Arial"/>
          <w:color w:val="1D1D1D"/>
          <w:spacing w:val="-10"/>
        </w:rPr>
        <w:t xml:space="preserve"> </w:t>
      </w:r>
      <w:r w:rsidRPr="00281B5A">
        <w:rPr>
          <w:rFonts w:ascii="Arial" w:hAnsi="Arial" w:cs="Arial"/>
          <w:color w:val="1D1D1D"/>
        </w:rPr>
        <w:t>experiencias lúdicas</w:t>
      </w:r>
      <w:r w:rsidRPr="00281B5A">
        <w:rPr>
          <w:rFonts w:ascii="Arial" w:hAnsi="Arial" w:cs="Arial"/>
          <w:color w:val="1D1D1D"/>
          <w:spacing w:val="-9"/>
        </w:rPr>
        <w:t xml:space="preserve"> </w:t>
      </w:r>
      <w:r w:rsidRPr="00281B5A">
        <w:rPr>
          <w:rFonts w:ascii="Arial" w:hAnsi="Arial" w:cs="Arial"/>
          <w:color w:val="1D1D1D"/>
        </w:rPr>
        <w:t>que promuevan el</w:t>
      </w:r>
      <w:r w:rsidRPr="00281B5A">
        <w:rPr>
          <w:rFonts w:ascii="Arial" w:hAnsi="Arial" w:cs="Arial"/>
          <w:color w:val="1D1D1D"/>
          <w:spacing w:val="-12"/>
        </w:rPr>
        <w:t xml:space="preserve"> </w:t>
      </w:r>
      <w:r w:rsidRPr="00281B5A">
        <w:rPr>
          <w:rFonts w:ascii="Arial" w:hAnsi="Arial" w:cs="Arial"/>
          <w:color w:val="1D1D1D"/>
        </w:rPr>
        <w:t>desarrollo integral a</w:t>
      </w:r>
      <w:r w:rsidRPr="00281B5A">
        <w:rPr>
          <w:rFonts w:ascii="Arial" w:hAnsi="Arial" w:cs="Arial"/>
          <w:color w:val="1D1D1D"/>
          <w:spacing w:val="-16"/>
        </w:rPr>
        <w:t xml:space="preserve"> </w:t>
      </w:r>
      <w:r w:rsidRPr="00281B5A">
        <w:rPr>
          <w:rFonts w:ascii="Arial" w:hAnsi="Arial" w:cs="Arial"/>
          <w:color w:val="1D1D1D"/>
        </w:rPr>
        <w:t>través</w:t>
      </w:r>
      <w:r w:rsidRPr="00281B5A">
        <w:rPr>
          <w:rFonts w:ascii="Arial" w:hAnsi="Arial" w:cs="Arial"/>
          <w:color w:val="1D1D1D"/>
          <w:spacing w:val="-14"/>
        </w:rPr>
        <w:t xml:space="preserve"> </w:t>
      </w:r>
      <w:r w:rsidRPr="00281B5A">
        <w:rPr>
          <w:rFonts w:ascii="Arial" w:hAnsi="Arial" w:cs="Arial"/>
          <w:color w:val="1D1D1D"/>
        </w:rPr>
        <w:t>del arte, el juego,</w:t>
      </w:r>
      <w:r w:rsidRPr="00281B5A">
        <w:rPr>
          <w:rFonts w:ascii="Arial" w:hAnsi="Arial" w:cs="Arial"/>
          <w:color w:val="1D1D1D"/>
          <w:spacing w:val="34"/>
        </w:rPr>
        <w:t xml:space="preserve"> </w:t>
      </w:r>
      <w:r w:rsidRPr="00281B5A">
        <w:rPr>
          <w:rFonts w:ascii="Arial" w:hAnsi="Arial" w:cs="Arial"/>
          <w:color w:val="1D1D1D"/>
        </w:rPr>
        <w:t>la exploración</w:t>
      </w:r>
      <w:r w:rsidRPr="00281B5A">
        <w:rPr>
          <w:rFonts w:ascii="Arial" w:hAnsi="Arial" w:cs="Arial"/>
          <w:color w:val="1D1D1D"/>
          <w:spacing w:val="40"/>
        </w:rPr>
        <w:t xml:space="preserve"> </w:t>
      </w:r>
      <w:r w:rsidRPr="00281B5A">
        <w:rPr>
          <w:rFonts w:ascii="Arial" w:hAnsi="Arial" w:cs="Arial"/>
          <w:color w:val="1D1D1D"/>
        </w:rPr>
        <w:t>del</w:t>
      </w:r>
      <w:r w:rsidRPr="00281B5A">
        <w:rPr>
          <w:rFonts w:ascii="Arial" w:hAnsi="Arial" w:cs="Arial"/>
          <w:color w:val="1D1D1D"/>
          <w:spacing w:val="36"/>
        </w:rPr>
        <w:t xml:space="preserve"> </w:t>
      </w:r>
      <w:r w:rsidRPr="00281B5A">
        <w:rPr>
          <w:rFonts w:ascii="Arial" w:hAnsi="Arial" w:cs="Arial"/>
          <w:color w:val="1D1D1D"/>
        </w:rPr>
        <w:t>medio y el ambiente</w:t>
      </w:r>
      <w:r w:rsidRPr="00281B5A">
        <w:rPr>
          <w:rFonts w:ascii="Arial" w:hAnsi="Arial" w:cs="Arial"/>
          <w:color w:val="1D1D1D"/>
          <w:spacing w:val="32"/>
        </w:rPr>
        <w:t xml:space="preserve"> </w:t>
      </w:r>
      <w:r w:rsidRPr="00281B5A">
        <w:rPr>
          <w:rFonts w:ascii="Arial" w:hAnsi="Arial" w:cs="Arial"/>
          <w:color w:val="1D1D1D"/>
        </w:rPr>
        <w:t>y otros aspectos del entorno.</w:t>
      </w:r>
    </w:p>
    <w:p w14:paraId="6BBF140B" w14:textId="77777777" w:rsidR="00281B5A" w:rsidRPr="00281B5A" w:rsidRDefault="00281B5A" w:rsidP="00BB101B">
      <w:pPr>
        <w:pStyle w:val="Prrafodelista"/>
        <w:widowControl w:val="0"/>
        <w:numPr>
          <w:ilvl w:val="0"/>
          <w:numId w:val="1"/>
        </w:numPr>
        <w:tabs>
          <w:tab w:val="left" w:pos="1857"/>
        </w:tabs>
        <w:autoSpaceDE w:val="0"/>
        <w:autoSpaceDN w:val="0"/>
        <w:spacing w:after="120" w:line="276" w:lineRule="auto"/>
        <w:ind w:left="714" w:right="139" w:hanging="357"/>
        <w:contextualSpacing w:val="0"/>
        <w:jc w:val="both"/>
        <w:rPr>
          <w:rFonts w:ascii="Arial" w:hAnsi="Arial" w:cs="Arial"/>
          <w:color w:val="1D1D1D"/>
        </w:rPr>
      </w:pPr>
      <w:r w:rsidRPr="00281B5A">
        <w:rPr>
          <w:rFonts w:ascii="Arial" w:hAnsi="Arial" w:cs="Arial"/>
          <w:bCs/>
        </w:rPr>
        <w:t>Definir plazos claros para la implementación de estrategias de sensibilización.</w:t>
      </w:r>
    </w:p>
    <w:p w14:paraId="0A33DE29" w14:textId="25674154" w:rsidR="00281B5A" w:rsidRPr="00281B5A" w:rsidRDefault="00281B5A" w:rsidP="00BB101B">
      <w:pPr>
        <w:pStyle w:val="Prrafodelista"/>
        <w:widowControl w:val="0"/>
        <w:numPr>
          <w:ilvl w:val="0"/>
          <w:numId w:val="1"/>
        </w:numPr>
        <w:tabs>
          <w:tab w:val="left" w:pos="1857"/>
        </w:tabs>
        <w:autoSpaceDE w:val="0"/>
        <w:autoSpaceDN w:val="0"/>
        <w:spacing w:after="120" w:line="276" w:lineRule="auto"/>
        <w:ind w:left="714" w:right="139" w:hanging="357"/>
        <w:contextualSpacing w:val="0"/>
        <w:jc w:val="both"/>
        <w:rPr>
          <w:rFonts w:ascii="Arial" w:hAnsi="Arial" w:cs="Arial"/>
          <w:color w:val="1D1D1D"/>
        </w:rPr>
      </w:pPr>
      <w:r w:rsidRPr="00281B5A">
        <w:rPr>
          <w:rFonts w:ascii="Arial" w:hAnsi="Arial" w:cs="Arial"/>
          <w:bCs/>
        </w:rPr>
        <w:t>Garantizar mecanismos de seguimiento con indicadores medibles sobre su impacto.</w:t>
      </w:r>
    </w:p>
    <w:p w14:paraId="4D920113" w14:textId="25C129F4" w:rsidR="00281B5A" w:rsidRPr="00281B5A" w:rsidRDefault="00281B5A" w:rsidP="00BB101B">
      <w:pPr>
        <w:widowControl w:val="0"/>
        <w:tabs>
          <w:tab w:val="left" w:pos="1857"/>
        </w:tabs>
        <w:autoSpaceDE w:val="0"/>
        <w:autoSpaceDN w:val="0"/>
        <w:spacing w:after="120" w:line="276" w:lineRule="auto"/>
        <w:ind w:right="139"/>
        <w:jc w:val="both"/>
        <w:rPr>
          <w:rFonts w:ascii="Arial" w:hAnsi="Arial" w:cs="Arial"/>
          <w:color w:val="1D1D1D"/>
        </w:rPr>
      </w:pPr>
      <w:r w:rsidRPr="00281B5A">
        <w:rPr>
          <w:rFonts w:ascii="Arial" w:hAnsi="Arial" w:cs="Arial"/>
          <w:b/>
          <w:bCs/>
          <w:color w:val="1D1D1D"/>
        </w:rPr>
        <w:t>Parágrafo</w:t>
      </w:r>
      <w:r w:rsidR="00121FCB">
        <w:rPr>
          <w:rFonts w:ascii="Arial" w:hAnsi="Arial" w:cs="Arial"/>
          <w:b/>
          <w:bCs/>
          <w:color w:val="1D1D1D"/>
        </w:rPr>
        <w:t>:</w:t>
      </w:r>
      <w:r w:rsidRPr="00281B5A">
        <w:rPr>
          <w:rFonts w:ascii="Arial" w:hAnsi="Arial" w:cs="Arial"/>
          <w:color w:val="1D1D1D"/>
        </w:rPr>
        <w:t xml:space="preserve"> La Administración Distrital podrá sensibilizar sobre las afectaciones a la salud mental</w:t>
      </w:r>
      <w:r>
        <w:rPr>
          <w:rFonts w:ascii="Arial" w:hAnsi="Arial" w:cs="Arial"/>
          <w:color w:val="1D1D1D"/>
        </w:rPr>
        <w:t xml:space="preserve"> </w:t>
      </w:r>
      <w:r w:rsidRPr="00281B5A">
        <w:rPr>
          <w:rFonts w:ascii="Arial" w:hAnsi="Arial" w:cs="Arial"/>
          <w:color w:val="1D1D1D"/>
        </w:rPr>
        <w:t xml:space="preserve">para </w:t>
      </w:r>
      <w:proofErr w:type="gramStart"/>
      <w:r w:rsidRPr="00281B5A">
        <w:rPr>
          <w:rFonts w:ascii="Arial" w:hAnsi="Arial" w:cs="Arial"/>
          <w:color w:val="1D1D1D"/>
        </w:rPr>
        <w:t>los niños y niñas</w:t>
      </w:r>
      <w:proofErr w:type="gramEnd"/>
      <w:r w:rsidRPr="00281B5A">
        <w:rPr>
          <w:rFonts w:ascii="Arial" w:hAnsi="Arial" w:cs="Arial"/>
          <w:color w:val="1D1D1D"/>
        </w:rPr>
        <w:t xml:space="preserve"> por el uso temprano de pantallas celulares y dispositivos.</w:t>
      </w:r>
    </w:p>
    <w:p w14:paraId="16400374" w14:textId="4951665E" w:rsidR="00281B5A" w:rsidRPr="00281B5A" w:rsidRDefault="00281B5A" w:rsidP="00BB101B">
      <w:pPr>
        <w:spacing w:line="276" w:lineRule="auto"/>
        <w:jc w:val="both"/>
        <w:rPr>
          <w:rFonts w:ascii="Arial" w:hAnsi="Arial" w:cs="Arial"/>
        </w:rPr>
      </w:pPr>
      <w:r w:rsidRPr="00281B5A">
        <w:rPr>
          <w:rFonts w:ascii="Arial" w:hAnsi="Arial" w:cs="Arial"/>
          <w:b/>
          <w:bCs/>
        </w:rPr>
        <w:t>Artículo 3. A</w:t>
      </w:r>
      <w:r w:rsidRPr="00EF16F7">
        <w:rPr>
          <w:rFonts w:ascii="Arial" w:hAnsi="Arial" w:cs="Arial"/>
          <w:b/>
          <w:bCs/>
        </w:rPr>
        <w:t>rt</w:t>
      </w:r>
      <w:r w:rsidRPr="00281B5A">
        <w:rPr>
          <w:rFonts w:ascii="Arial" w:hAnsi="Arial" w:cs="Arial"/>
          <w:b/>
          <w:bCs/>
        </w:rPr>
        <w:t xml:space="preserve">iculación </w:t>
      </w:r>
      <w:r w:rsidRPr="00EF16F7">
        <w:rPr>
          <w:rFonts w:ascii="Arial" w:hAnsi="Arial" w:cs="Arial"/>
          <w:b/>
          <w:bCs/>
        </w:rPr>
        <w:t>intersectorial:</w:t>
      </w:r>
      <w:r w:rsidRPr="00281B5A">
        <w:rPr>
          <w:rFonts w:ascii="Arial" w:hAnsi="Arial" w:cs="Arial"/>
        </w:rPr>
        <w:t xml:space="preserve"> La Administración distrital a través de </w:t>
      </w:r>
      <w:r w:rsidR="00F86BF0" w:rsidRPr="00281B5A">
        <w:rPr>
          <w:rFonts w:ascii="Arial" w:hAnsi="Arial" w:cs="Arial"/>
        </w:rPr>
        <w:t>la</w:t>
      </w:r>
      <w:r w:rsidR="00F86BF0">
        <w:rPr>
          <w:rFonts w:ascii="Arial" w:hAnsi="Arial" w:cs="Arial"/>
        </w:rPr>
        <w:t xml:space="preserve">s entidades competentes </w:t>
      </w:r>
      <w:r w:rsidRPr="00281B5A">
        <w:rPr>
          <w:rFonts w:ascii="Arial" w:hAnsi="Arial" w:cs="Arial"/>
        </w:rPr>
        <w:t>propenderá por las acciones que considere necesarias para la</w:t>
      </w:r>
      <w:r>
        <w:rPr>
          <w:rFonts w:ascii="Arial" w:hAnsi="Arial" w:cs="Arial"/>
        </w:rPr>
        <w:t xml:space="preserve"> </w:t>
      </w:r>
      <w:r w:rsidRPr="00281B5A">
        <w:rPr>
          <w:rFonts w:ascii="Arial" w:hAnsi="Arial" w:cs="Arial"/>
        </w:rPr>
        <w:t>implementación de los</w:t>
      </w:r>
      <w:r>
        <w:rPr>
          <w:rFonts w:ascii="Arial" w:hAnsi="Arial" w:cs="Arial"/>
        </w:rPr>
        <w:t xml:space="preserve"> li</w:t>
      </w:r>
      <w:r w:rsidRPr="00281B5A">
        <w:rPr>
          <w:rFonts w:ascii="Arial" w:hAnsi="Arial" w:cs="Arial"/>
        </w:rPr>
        <w:t>neamientos contenidos en el presente Acuerdo.</w:t>
      </w:r>
    </w:p>
    <w:p w14:paraId="65EB4113" w14:textId="4A64DD95" w:rsidR="00281B5A" w:rsidRPr="00281B5A" w:rsidRDefault="00281B5A" w:rsidP="00BB101B">
      <w:pPr>
        <w:spacing w:line="276" w:lineRule="auto"/>
        <w:jc w:val="both"/>
        <w:rPr>
          <w:rFonts w:ascii="Arial" w:hAnsi="Arial" w:cs="Arial"/>
        </w:rPr>
      </w:pPr>
      <w:r w:rsidRPr="00281B5A">
        <w:rPr>
          <w:rFonts w:ascii="Arial" w:hAnsi="Arial" w:cs="Arial"/>
          <w:b/>
          <w:bCs/>
        </w:rPr>
        <w:t>Parágrafo</w:t>
      </w:r>
      <w:r w:rsidR="00121FCB">
        <w:rPr>
          <w:rFonts w:ascii="Arial" w:hAnsi="Arial" w:cs="Arial"/>
          <w:b/>
          <w:bCs/>
        </w:rPr>
        <w:t>:</w:t>
      </w:r>
      <w:r w:rsidRPr="00281B5A">
        <w:rPr>
          <w:rFonts w:ascii="Arial" w:hAnsi="Arial" w:cs="Arial"/>
          <w:b/>
          <w:bCs/>
        </w:rPr>
        <w:t xml:space="preserve"> </w:t>
      </w:r>
      <w:r w:rsidRPr="00281B5A">
        <w:rPr>
          <w:rFonts w:ascii="Arial" w:hAnsi="Arial" w:cs="Arial"/>
        </w:rPr>
        <w:t xml:space="preserve">Para el desarrollo de estas acciones la </w:t>
      </w:r>
      <w:r w:rsidR="00645BD5">
        <w:rPr>
          <w:rFonts w:ascii="Arial" w:hAnsi="Arial" w:cs="Arial"/>
        </w:rPr>
        <w:t>A</w:t>
      </w:r>
      <w:r w:rsidRPr="00281B5A">
        <w:rPr>
          <w:rFonts w:ascii="Arial" w:hAnsi="Arial" w:cs="Arial"/>
        </w:rPr>
        <w:t xml:space="preserve">dministración </w:t>
      </w:r>
      <w:r w:rsidR="00645BD5">
        <w:rPr>
          <w:rFonts w:ascii="Arial" w:hAnsi="Arial" w:cs="Arial"/>
        </w:rPr>
        <w:t>D</w:t>
      </w:r>
      <w:r w:rsidRPr="00281B5A">
        <w:rPr>
          <w:rFonts w:ascii="Arial" w:hAnsi="Arial" w:cs="Arial"/>
        </w:rPr>
        <w:t>istrita</w:t>
      </w:r>
      <w:r>
        <w:rPr>
          <w:rFonts w:ascii="Arial" w:hAnsi="Arial" w:cs="Arial"/>
        </w:rPr>
        <w:t>l</w:t>
      </w:r>
      <w:r w:rsidRPr="00281B5A">
        <w:rPr>
          <w:rFonts w:ascii="Arial" w:hAnsi="Arial" w:cs="Arial"/>
        </w:rPr>
        <w:t xml:space="preserve"> podrá invitar al</w:t>
      </w:r>
      <w:r w:rsidR="00645BD5">
        <w:rPr>
          <w:rFonts w:ascii="Arial" w:hAnsi="Arial" w:cs="Arial"/>
        </w:rPr>
        <w:t xml:space="preserve"> </w:t>
      </w:r>
      <w:r w:rsidRPr="00281B5A">
        <w:rPr>
          <w:rFonts w:ascii="Arial" w:hAnsi="Arial" w:cs="Arial"/>
        </w:rPr>
        <w:t>Instituto</w:t>
      </w:r>
      <w:r>
        <w:rPr>
          <w:rFonts w:ascii="Arial" w:hAnsi="Arial" w:cs="Arial"/>
        </w:rPr>
        <w:t xml:space="preserve"> </w:t>
      </w:r>
      <w:r w:rsidRPr="00281B5A">
        <w:rPr>
          <w:rFonts w:ascii="Arial" w:hAnsi="Arial" w:cs="Arial"/>
        </w:rPr>
        <w:t>Colombiano de Bienestar Familiar y/o las entidades que considere competentes.</w:t>
      </w:r>
    </w:p>
    <w:p w14:paraId="7A438370" w14:textId="7681FBBD" w:rsidR="00281B5A" w:rsidRPr="00281B5A" w:rsidRDefault="00281B5A" w:rsidP="00BB101B">
      <w:pPr>
        <w:spacing w:line="276" w:lineRule="auto"/>
        <w:jc w:val="both"/>
        <w:rPr>
          <w:rFonts w:ascii="Arial" w:hAnsi="Arial" w:cs="Arial"/>
        </w:rPr>
      </w:pPr>
      <w:r w:rsidRPr="00281B5A">
        <w:rPr>
          <w:rFonts w:ascii="Arial" w:hAnsi="Arial" w:cs="Arial"/>
          <w:b/>
          <w:bCs/>
        </w:rPr>
        <w:lastRenderedPageBreak/>
        <w:t xml:space="preserve">Artículo 4. Informe. </w:t>
      </w:r>
      <w:r w:rsidRPr="00281B5A">
        <w:rPr>
          <w:rFonts w:ascii="Arial" w:hAnsi="Arial" w:cs="Arial"/>
        </w:rPr>
        <w:t>La Administración distrital remitirá al Concejo un informe anual que</w:t>
      </w:r>
      <w:r>
        <w:rPr>
          <w:rFonts w:ascii="Arial" w:hAnsi="Arial" w:cs="Arial"/>
        </w:rPr>
        <w:t xml:space="preserve"> </w:t>
      </w:r>
      <w:r w:rsidRPr="00281B5A">
        <w:rPr>
          <w:rFonts w:ascii="Arial" w:hAnsi="Arial" w:cs="Arial"/>
        </w:rPr>
        <w:t>contengan</w:t>
      </w:r>
      <w:r>
        <w:rPr>
          <w:rFonts w:ascii="Arial" w:hAnsi="Arial" w:cs="Arial"/>
        </w:rPr>
        <w:t xml:space="preserve"> </w:t>
      </w:r>
      <w:r w:rsidRPr="00281B5A">
        <w:rPr>
          <w:rFonts w:ascii="Arial" w:hAnsi="Arial" w:cs="Arial"/>
        </w:rPr>
        <w:t>las acciones que se adelanten en pro de implementar este Acuerdo.</w:t>
      </w:r>
    </w:p>
    <w:p w14:paraId="6C8F8720" w14:textId="0B1666DD" w:rsidR="007E3D44" w:rsidRPr="00281B5A" w:rsidRDefault="00281B5A" w:rsidP="00BB101B">
      <w:pPr>
        <w:spacing w:line="276" w:lineRule="auto"/>
        <w:jc w:val="both"/>
        <w:rPr>
          <w:rFonts w:ascii="Arial" w:hAnsi="Arial" w:cs="Arial"/>
          <w:lang w:val="es-ES"/>
        </w:rPr>
      </w:pPr>
      <w:r w:rsidRPr="00281B5A">
        <w:rPr>
          <w:rFonts w:ascii="Arial" w:hAnsi="Arial" w:cs="Arial"/>
          <w:b/>
          <w:bCs/>
        </w:rPr>
        <w:t xml:space="preserve">Artículo 5. Vigencia. </w:t>
      </w:r>
      <w:r w:rsidRPr="00281B5A">
        <w:rPr>
          <w:rFonts w:ascii="Arial" w:hAnsi="Arial" w:cs="Arial"/>
        </w:rPr>
        <w:t>El presente Acuerdo rige a partir de la fecha de su publicación.</w:t>
      </w:r>
    </w:p>
    <w:sectPr w:rsidR="007E3D44" w:rsidRPr="00281B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4813"/>
    <w:multiLevelType w:val="hybridMultilevel"/>
    <w:tmpl w:val="A77262B6"/>
    <w:lvl w:ilvl="0" w:tplc="37E8459E">
      <w:start w:val="1"/>
      <w:numFmt w:val="decimal"/>
      <w:lvlText w:val="%1."/>
      <w:lvlJc w:val="left"/>
      <w:pPr>
        <w:ind w:left="1086" w:hanging="790"/>
        <w:jc w:val="right"/>
      </w:pPr>
      <w:rPr>
        <w:rFonts w:ascii="Arial" w:eastAsia="Times New Roman" w:hAnsi="Arial" w:cs="Arial"/>
        <w:spacing w:val="0"/>
        <w:w w:val="83"/>
        <w:lang w:val="es-ES" w:eastAsia="en-US" w:bidi="ar-SA"/>
      </w:rPr>
    </w:lvl>
    <w:lvl w:ilvl="1" w:tplc="A51E1562">
      <w:numFmt w:val="bullet"/>
      <w:lvlText w:val="•"/>
      <w:lvlJc w:val="left"/>
      <w:pPr>
        <w:ind w:left="2023" w:hanging="790"/>
      </w:pPr>
      <w:rPr>
        <w:rFonts w:hint="default"/>
        <w:lang w:val="es-ES" w:eastAsia="en-US" w:bidi="ar-SA"/>
      </w:rPr>
    </w:lvl>
    <w:lvl w:ilvl="2" w:tplc="AD66B9BA">
      <w:numFmt w:val="bullet"/>
      <w:lvlText w:val="•"/>
      <w:lvlJc w:val="left"/>
      <w:pPr>
        <w:ind w:left="2967" w:hanging="790"/>
      </w:pPr>
      <w:rPr>
        <w:rFonts w:hint="default"/>
        <w:lang w:val="es-ES" w:eastAsia="en-US" w:bidi="ar-SA"/>
      </w:rPr>
    </w:lvl>
    <w:lvl w:ilvl="3" w:tplc="9C3ADBDE">
      <w:numFmt w:val="bullet"/>
      <w:lvlText w:val="•"/>
      <w:lvlJc w:val="left"/>
      <w:pPr>
        <w:ind w:left="3910" w:hanging="790"/>
      </w:pPr>
      <w:rPr>
        <w:rFonts w:hint="default"/>
        <w:lang w:val="es-ES" w:eastAsia="en-US" w:bidi="ar-SA"/>
      </w:rPr>
    </w:lvl>
    <w:lvl w:ilvl="4" w:tplc="819A92DA">
      <w:numFmt w:val="bullet"/>
      <w:lvlText w:val="•"/>
      <w:lvlJc w:val="left"/>
      <w:pPr>
        <w:ind w:left="4854" w:hanging="790"/>
      </w:pPr>
      <w:rPr>
        <w:rFonts w:hint="default"/>
        <w:lang w:val="es-ES" w:eastAsia="en-US" w:bidi="ar-SA"/>
      </w:rPr>
    </w:lvl>
    <w:lvl w:ilvl="5" w:tplc="2086304A">
      <w:numFmt w:val="bullet"/>
      <w:lvlText w:val="•"/>
      <w:lvlJc w:val="left"/>
      <w:pPr>
        <w:ind w:left="5798" w:hanging="790"/>
      </w:pPr>
      <w:rPr>
        <w:rFonts w:hint="default"/>
        <w:lang w:val="es-ES" w:eastAsia="en-US" w:bidi="ar-SA"/>
      </w:rPr>
    </w:lvl>
    <w:lvl w:ilvl="6" w:tplc="0740A5F8">
      <w:numFmt w:val="bullet"/>
      <w:lvlText w:val="•"/>
      <w:lvlJc w:val="left"/>
      <w:pPr>
        <w:ind w:left="6741" w:hanging="790"/>
      </w:pPr>
      <w:rPr>
        <w:rFonts w:hint="default"/>
        <w:lang w:val="es-ES" w:eastAsia="en-US" w:bidi="ar-SA"/>
      </w:rPr>
    </w:lvl>
    <w:lvl w:ilvl="7" w:tplc="BEEAB710">
      <w:numFmt w:val="bullet"/>
      <w:lvlText w:val="•"/>
      <w:lvlJc w:val="left"/>
      <w:pPr>
        <w:ind w:left="7685" w:hanging="790"/>
      </w:pPr>
      <w:rPr>
        <w:rFonts w:hint="default"/>
        <w:lang w:val="es-ES" w:eastAsia="en-US" w:bidi="ar-SA"/>
      </w:rPr>
    </w:lvl>
    <w:lvl w:ilvl="8" w:tplc="61CC3D32">
      <w:numFmt w:val="bullet"/>
      <w:lvlText w:val="•"/>
      <w:lvlJc w:val="left"/>
      <w:pPr>
        <w:ind w:left="8628" w:hanging="790"/>
      </w:pPr>
      <w:rPr>
        <w:rFonts w:hint="default"/>
        <w:lang w:val="es-ES" w:eastAsia="en-US" w:bidi="ar-SA"/>
      </w:rPr>
    </w:lvl>
  </w:abstractNum>
  <w:abstractNum w:abstractNumId="1" w15:restartNumberingAfterBreak="0">
    <w:nsid w:val="29EA3639"/>
    <w:multiLevelType w:val="hybridMultilevel"/>
    <w:tmpl w:val="F7BA347E"/>
    <w:lvl w:ilvl="0" w:tplc="1CD0D6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1D1D1D"/>
        <w:sz w:val="25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945244">
    <w:abstractNumId w:val="1"/>
  </w:num>
  <w:num w:numId="2" w16cid:durableId="1340304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B5A"/>
    <w:rsid w:val="00121FCB"/>
    <w:rsid w:val="00164740"/>
    <w:rsid w:val="00281B5A"/>
    <w:rsid w:val="003D3849"/>
    <w:rsid w:val="005E48FE"/>
    <w:rsid w:val="006023FA"/>
    <w:rsid w:val="00645BD5"/>
    <w:rsid w:val="00751CE2"/>
    <w:rsid w:val="007E3D44"/>
    <w:rsid w:val="00943D23"/>
    <w:rsid w:val="00AD5732"/>
    <w:rsid w:val="00BB101B"/>
    <w:rsid w:val="00CE3878"/>
    <w:rsid w:val="00DA3D78"/>
    <w:rsid w:val="00E63A09"/>
    <w:rsid w:val="00E80179"/>
    <w:rsid w:val="00EF16F7"/>
    <w:rsid w:val="00F8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4F1D"/>
  <w15:chartTrackingRefBased/>
  <w15:docId w15:val="{8FA14F31-5357-443C-8CEF-6FBBE6A2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81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81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81B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81B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81B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81B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81B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81B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81B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81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81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81B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81B5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81B5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81B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81B5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81B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81B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81B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81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81B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81B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81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81B5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281B5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81B5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81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81B5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81B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395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Garzón</dc:creator>
  <cp:keywords/>
  <dc:description/>
  <cp:lastModifiedBy>David Garzón</cp:lastModifiedBy>
  <cp:revision>14</cp:revision>
  <dcterms:created xsi:type="dcterms:W3CDTF">2025-02-26T16:45:00Z</dcterms:created>
  <dcterms:modified xsi:type="dcterms:W3CDTF">2025-02-26T17:54:00Z</dcterms:modified>
</cp:coreProperties>
</file>